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В настоящее время отправка и поручение ценных посылок стали особенно </w:t>
      </w:r>
      <w:r>
        <w:rPr>
          <w:rFonts w:ascii="Comic Sans MS" w:hAnsi="Comic Sans MS" w:cs="Times New Roman"/>
          <w:bCs/>
        </w:rPr>
        <w:t xml:space="preserve">востребованны</w:t>
      </w:r>
      <w:r>
        <w:rPr>
          <w:rFonts w:ascii="Comic Sans MS" w:hAnsi="Comic Sans MS" w:cs="Times New Roman"/>
          <w:bCs/>
        </w:rPr>
        <w:t xml:space="preserve">, в том числе в связи с популярностью дистанционной торговли  </w:t>
      </w:r>
      <w:r>
        <w:rPr>
          <w:rFonts w:ascii="Comic Sans MS" w:hAnsi="Comic Sans MS" w:cs="Times New Roman"/>
          <w:bCs/>
        </w:rPr>
        <w:t xml:space="preserve">на</w:t>
      </w:r>
      <w:r>
        <w:rPr>
          <w:rFonts w:ascii="Comic Sans MS" w:hAnsi="Comic Sans MS" w:cs="Times New Roman"/>
          <w:bCs/>
        </w:rPr>
        <w:t xml:space="preserve"> различных </w:t>
      </w:r>
      <w:r>
        <w:rPr>
          <w:rFonts w:ascii="Comic Sans MS" w:hAnsi="Comic Sans MS" w:cs="Times New Roman"/>
          <w:bCs/>
        </w:rPr>
        <w:t xml:space="preserve">маркетплейсах</w:t>
      </w:r>
      <w:r>
        <w:rPr>
          <w:rFonts w:ascii="Comic Sans MS" w:hAnsi="Comic Sans MS" w:cs="Times New Roman"/>
          <w:bCs/>
        </w:rPr>
        <w:t xml:space="preserve">.    Несмотря на то, что каждому регистрируемому почтовому отправлению присваивается трек-номер и указывается в квитанции, выдаваемой оператором почтовой связи при приеме посылки,  к сожалению, нередко возникают ситуации, когда посылка теряется или отдается не тому человеку. Подобная ситуация может создать ряд проблем и недоразумений, в связи с чем в первую очередь рекомендуем при возникновении подобной ситуации не паниковать!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Если Вашу посылку потеряли или отдали другому человеку</w:t>
      </w:r>
      <w:r>
        <w:rPr>
          <w:rFonts w:ascii="Comic Sans MS" w:hAnsi="Comic Sans MS" w:cs="Times New Roman"/>
          <w:bCs/>
        </w:rPr>
        <w:t xml:space="preserve">: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1. </w:t>
      </w:r>
      <w:r>
        <w:rPr>
          <w:rFonts w:ascii="Comic Sans MS" w:hAnsi="Comic Sans MS" w:cs="Times New Roman"/>
          <w:bCs/>
        </w:rPr>
        <w:t xml:space="preserve"> Объяснить ситуацию сотруднику почты и попросите помощи в решении проблемы. Сотрудники почты имеют доступ к системе и могут проверить, кто получил вашу посылку или где она находится в данный момент.      Кроме того, необходимо проверить правильно ли были указаны данные получателя, а также адрес при оформлении посылки.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2. </w:t>
      </w:r>
      <w:r>
        <w:rPr>
          <w:rFonts w:ascii="Comic Sans MS" w:hAnsi="Comic Sans MS" w:cs="Times New Roman"/>
          <w:bCs/>
        </w:rPr>
        <w:t xml:space="preserve">Следующий шаг, который необходимо предпринять в возникшей ситуации – незамедлительно обратиться по телефону бесплатной горячей линии Почты России </w:t>
      </w:r>
      <w:r>
        <w:rPr>
          <w:rFonts w:ascii="Comic Sans MS" w:hAnsi="Comic Sans MS" w:cs="Times New Roman"/>
          <w:b/>
          <w:bCs/>
        </w:rPr>
        <w:t xml:space="preserve">8-800-200-58-88 (работает круглосуточно).</w:t>
      </w:r>
      <w:r>
        <w:rPr>
          <w:rFonts w:ascii="Comic Sans MS" w:hAnsi="Comic Sans MS" w:cs="Times New Roman"/>
          <w:bCs/>
        </w:rPr>
        <w:t xml:space="preserve"> Обращение на горячую линию может помочь ускорить процесс рассмотрения Вашего обращения.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3. </w:t>
      </w:r>
      <w:r>
        <w:rPr>
          <w:rFonts w:ascii="Comic Sans MS" w:hAnsi="Comic Sans MS" w:cs="Times New Roman"/>
          <w:bCs/>
        </w:rPr>
        <w:t xml:space="preserve">Далее, необходимо написать письменную претензию начальнику почтового отделения с требованием о возмещении вреда.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Такую претензию можно подать в течение 6 месяцев со дня отправления посылки как по месту приема, так и по месту назначения почтового отправления.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При подаче претензии заявитель (его уполномоченный представитель) должен предъявить документ, удостоверяющий личность. В случае если с претензией обращается представитель заявителя, также предъявляется доверенность, выданная на имя этого лица, либо документ, подтверждающий полномочия законного представителя заявителя.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При регистрации претензии оператором почтовой связи ей присваивается идентификационный номер.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/>
          <w:bCs/>
        </w:rPr>
        <w:t xml:space="preserve">Важно!</w:t>
      </w:r>
      <w:r>
        <w:rPr>
          <w:rFonts w:ascii="Comic Sans MS" w:hAnsi="Comic Sans MS" w:cs="Times New Roman"/>
          <w:bCs/>
        </w:rPr>
        <w:t xml:space="preserve"> Обязательно составить претензию в двух экземплярах. Один остается у заявителя с отметкой о принятии, второй передается в отделение почты.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/>
          <w:bCs/>
        </w:rPr>
        <w:t xml:space="preserve">Помните!</w:t>
      </w:r>
      <w:r>
        <w:rPr>
          <w:rFonts w:ascii="Comic Sans MS" w:hAnsi="Comic Sans MS" w:cs="Times New Roman"/>
          <w:bCs/>
        </w:rPr>
        <w:t xml:space="preserve"> Претензии, в которых содержатся нецензурные либо оскорбительные выражения, угрозы жизни, здоровью и имуществу работников оператора почтовой связи, а также членов их семей, не принимаются и не регистрируются.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Оператор почтовой связи обязан рассмотреть вашу претензию и дать ответ в письменной форме в следующие сроки: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Cs/>
        </w:rPr>
        <w:t xml:space="preserve">на претензии в отношении посылок, пересылаемых в пределах одного населенного пункта, - </w:t>
      </w:r>
      <w:r>
        <w:rPr>
          <w:rFonts w:ascii="Comic Sans MS" w:hAnsi="Comic Sans MS" w:cs="Times New Roman"/>
          <w:b/>
          <w:bCs/>
        </w:rPr>
        <w:t xml:space="preserve">в течение 5 дней;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в остальных случаях </w:t>
      </w:r>
      <w:r>
        <w:rPr>
          <w:rFonts w:ascii="Comic Sans MS" w:hAnsi="Comic Sans MS" w:cs="Times New Roman"/>
          <w:b/>
          <w:bCs/>
        </w:rPr>
        <w:t xml:space="preserve">- в течение 30 дней.</w:t>
      </w:r>
      <w:r>
        <w:rPr>
          <w:rFonts w:ascii="Comic Sans MS" w:hAnsi="Comic Sans MS" w:cs="Times New Roman"/>
          <w:bCs/>
        </w:rPr>
        <w:t xml:space="preserve"> В установленных случаях этот срок может быть продлен еще не более чем на 30 дней, о чем вас должны уведомить.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В случае удовлетворения претензии выполучите выплату в счет возмещения убытков, причиненных в связи с утратой посылки.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Убытки, причиненные при оказании услуг почтовой связи, возмещаются оператором почтовой связи в следующих размерах: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если утрачена с объявленной ценностью - в размере объявленной ценности и суммы тарифной платы, за исключением тарифной платы за объявленную ценность;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если утрачена часть вложения посылки с объявленной ценностью при ее пересылке с описью вложения - в размере объявленной ценности недостающей части вложения, указанной отправителем в описи;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если утрачена часть вложения посылки с объявленной ценностью при ее пересылке без описи вложения - в размере части объявленной ценности, определяемой пропорционально отношению массы недостающей или поврежденной части вложения к массе посылки (без массы ее оболочки);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Операторы почтовой связи не несут ответственность за утрату, повреждение, недоставку посылок или нарушение контрольных сроков их пересылки, если будет доказано, что таковые произошли </w:t>
      </w:r>
      <w:r>
        <w:rPr>
          <w:rFonts w:ascii="Comic Sans MS" w:hAnsi="Comic Sans MS" w:cs="Times New Roman"/>
          <w:bCs/>
        </w:rPr>
        <w:t xml:space="preserve">вследствие обстоятельств непреодолимой силы или свойства вложения посылки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Cs/>
        </w:rPr>
        <w:t xml:space="preserve">В случае отказа оператора почтовой связи удовлетворить вашу претензию, либо в случае его согласия удовлетворить претензию частично, либо в случае неполучения от него ответа в установленный срок вы вправе предъявить иск в суд. </w:t>
      </w:r>
      <w:r>
        <w:rPr>
          <w:rFonts w:ascii="Comic Sans MS" w:hAnsi="Comic Sans MS" w:cs="Times New Roman"/>
          <w:b/>
          <w:bCs/>
        </w:rPr>
        <w:t xml:space="preserve">Обращаться в суд до предъявления претензии оператору связи вы не вправе.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При этом обязательный досудебный порядок урегулирования спора должен быть соблюден пользователем услуг почтовой связи независимо от того, является он отправителем или получателем.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/>
          <w:bCs/>
        </w:rPr>
        <w:t xml:space="preserve">Обращаем Ваше внимание!</w:t>
      </w:r>
      <w:r>
        <w:rPr>
          <w:rFonts w:ascii="Comic Sans MS" w:hAnsi="Comic Sans MS" w:cs="Times New Roman"/>
          <w:bCs/>
        </w:rPr>
        <w:t xml:space="preserve"> Чтобы обезопасить себя от неприятной ситуации, следует сохранять все данные об отправлении: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квитанцию от отправителя о приеме посылки в почтовом отделении;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индивидуальный трек-номер, который выдается при оплате услуги отправителем (номер указан на чеке);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скриншот с официального сайта Почты России, где отслеживалась транспортировка посылки;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извещение о прибытии.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Информация подготовлена специалистами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консультационного центра по защите правпотребителей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«Ф</w:t>
      </w:r>
      <w:r>
        <w:rPr>
          <w:rFonts w:ascii="Times New Roman" w:hAnsi="Times New Roman" w:cs="Times New Roman"/>
          <w:bCs/>
          <w:i/>
          <w:sz w:val="20"/>
        </w:rPr>
        <w:t xml:space="preserve">БУЗ «Центр гигиены и эпидемиологии в Иркутской области»</w:t>
      </w:r>
    </w:p>
    <w:p>
      <w:pPr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horzAnchor="margin" w:tblpXSpec="center" w:vertAnchor="text" w:tblpY="967" w:leftFromText="180" w:rightFromText="180"/>
        <w:tblW w:w="4712" w:type="dxa"/>
        <w:tblLook w:val="04A0" w:firstRow="1" w:lastRow="0" w:firstColumn="1" w:lastColumn="0" w:noHBand="0" w:noVBand="1"/>
      </w:tblPr>
      <w:tblGrid>
        <w:gridCol w:w="4712"/>
      </w:tblGrid>
      <w:tr>
        <w:trPr>
          <w:trHeight w:val="675"/>
        </w:trPr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ул.Трилиссера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zpp@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sesoirk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irkutsk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176"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г.Ангарск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ffbuz-angarsk@yandex.ru</w:t>
            </w:r>
          </w:p>
        </w:tc>
      </w:tr>
      <w:tr>
        <w:trPr>
          <w:trHeight w:val="51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ffbuz-usolie-sibirskoe@yandex.ru</w:t>
            </w:r>
          </w:p>
        </w:tc>
      </w:tr>
      <w:tr>
        <w:trPr>
          <w:trHeight w:val="2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ул.Плеханова, 1, тел.8(395-46) 5-66-38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cheremxovo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02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мкр.Благовещенский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ffbus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hyperlink r:id="rId7" w:history="1"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saynsk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yandex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ru</w:t>
              </w:r>
            </w:hyperlink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п.Залари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>
        <w:trPr>
          <w:trHeight w:val="485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г.Иркутск,)</w:t>
            </w:r>
          </w:p>
        </w:tc>
      </w:tr>
      <w:tr>
        <w:trPr>
          <w:trHeight w:val="280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>
        <w:trPr>
          <w:trHeight w:val="416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г.Тайшет,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ул.Старобазарная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taishet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  <w:tr>
        <w:trPr>
          <w:trHeight w:val="56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г.Железногорск-Илимский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 г.Усть-Кут)</w:t>
            </w:r>
          </w:p>
        </w:tc>
      </w:tr>
      <w:tr>
        <w:trPr>
          <w:trHeight w:val="681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лечебная зона, 6                                        тел.8(395-35) 6-44-46;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ffbuz-u-ilimsk@yandex.ru</w:t>
            </w:r>
          </w:p>
        </w:tc>
      </w:tr>
      <w:tr>
        <w:trPr>
          <w:trHeight w:val="447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ffbuz-u-kut@yandex.ru</w:t>
            </w:r>
          </w:p>
        </w:tc>
      </w:tr>
      <w:tr>
        <w:trPr>
          <w:trHeight w:val="548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Ждем Вас по адресам: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пидемиологиив Иркутской области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-287655</wp:posOffset>
                </wp:positionV>
                <wp:extent cx="3286125" cy="2324100"/>
                <wp:effectExtent l="0" t="0" r="0" b="0"/>
                <wp:wrapTight wrapText="bothSides">
                  <wp:wrapPolygon edited="0">
                    <wp:start x="0" y="0"/>
                    <wp:lineTo x="0" y="21423"/>
                    <wp:lineTo x="21537" y="21423"/>
                    <wp:lineTo x="21537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286125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7216;o:allowoverlap:true;o:allowincell:true;mso-position-horizontal-relative:text;margin-left:-3.90pt;mso-position-horizontal:absolute;mso-position-vertical-relative:text;margin-top:-22.65pt;mso-position-vertical:absolute;width:258.75pt;height:183.00pt;mso-wrap-distance-left:9.00pt;mso-wrap-distance-top:0.00pt;mso-wrap-distance-right:9.00pt;mso-wrap-distance-bottom:0.00pt;" wrapcoords="0 0 0 99181 99708 99181 99708 0 0 0" stroked="false">
                <v:path textboxrect="0,0,0,0"/>
                <w10:wrap type="tight"/>
                <v:imagedata r:id="rId8" o:title="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bookmarkStart w:id="0" w:name="_GoBack"/>
      <w:bookmarkEnd w:id="0"/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Консультационный центр и пункты</w: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защите прав потребителей</w:t>
      </w: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</w:t>
      </w:r>
    </w:p>
    <w:p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8-800-555-49-43</w:t>
      </w:r>
    </w:p>
    <w:sectPr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606040504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1B28260A">
      <w:numFmt w:val="bullet"/>
      <w:lvlText w:val="•"/>
      <w:lvlJc w:val="left"/>
      <w:pPr>
        <w:ind w:left="1065" w:hanging="705"/>
      </w:pPr>
      <w:rPr>
        <w:rFonts w:hint="default" w:ascii="Comic Sans MS" w:hAnsi="Comic Sans MS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mailto:saynsk@yandex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5239</Characters>
  <CharactersWithSpaces>6146</CharactersWithSpaces>
  <Company>Grizli777</Company>
  <DocSecurity>0</DocSecurity>
  <HyperlinksChanged>false</HyperlinksChanged>
  <Lines>43</Lines>
  <LinksUpToDate>false</LinksUpToDate>
  <Pages>2</Pages>
  <Paragraphs>12</Paragraphs>
  <ScaleCrop>false</ScaleCrop>
  <SharedDoc>false</SharedDoc>
  <Template>Normal</Template>
  <TotalTime>0</TotalTime>
  <Words>919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2023-11-22T08:26:00Z</dcterms:created>
  <dcterms:modified xsi:type="dcterms:W3CDTF">2023-11-22T08:26:00Z</dcterms:modified>
</cp:coreProperties>
</file>